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56295" w14:textId="77777777" w:rsidR="00CB4FE0" w:rsidRDefault="00D46AE2">
      <w:pPr>
        <w:spacing w:after="0" w:line="259" w:lineRule="auto"/>
        <w:ind w:left="0" w:right="35" w:firstLine="0"/>
        <w:jc w:val="center"/>
      </w:pPr>
      <w:r>
        <w:rPr>
          <w:b/>
        </w:rPr>
        <w:t xml:space="preserve">Biography &amp; Curriculum Vitae </w:t>
      </w:r>
    </w:p>
    <w:p w14:paraId="7053D095" w14:textId="77777777" w:rsidR="00CB4FE0" w:rsidRDefault="00D46AE2">
      <w:pPr>
        <w:spacing w:after="0" w:line="259" w:lineRule="auto"/>
        <w:ind w:left="15" w:firstLine="0"/>
        <w:jc w:val="left"/>
      </w:pPr>
      <w:r>
        <w:t xml:space="preserve"> </w:t>
      </w:r>
    </w:p>
    <w:p w14:paraId="5A75D7E4" w14:textId="77777777" w:rsidR="00CB4FE0" w:rsidRDefault="00D46AE2">
      <w:pPr>
        <w:spacing w:after="0" w:line="259" w:lineRule="auto"/>
        <w:ind w:left="0" w:firstLine="0"/>
        <w:jc w:val="right"/>
      </w:pPr>
      <w:r>
        <w:t xml:space="preserve"> </w:t>
      </w:r>
    </w:p>
    <w:p w14:paraId="75E83817" w14:textId="77777777" w:rsidR="00CB4FE0" w:rsidRDefault="00D46AE2">
      <w:pPr>
        <w:spacing w:after="0" w:line="259" w:lineRule="auto"/>
        <w:ind w:left="0" w:firstLine="0"/>
        <w:jc w:val="right"/>
      </w:pPr>
      <w:r>
        <w:t xml:space="preserve"> </w:t>
      </w:r>
      <w:r>
        <w:rPr>
          <w:noProof/>
        </w:rPr>
        <w:drawing>
          <wp:inline distT="0" distB="0" distL="0" distR="0" wp14:anchorId="0ABBA88B" wp14:editId="5C3D8C39">
            <wp:extent cx="1299210" cy="1573530"/>
            <wp:effectExtent l="0" t="0" r="0" b="0"/>
            <wp:docPr id="125" name="Picture 125"/>
            <wp:cNvGraphicFramePr/>
            <a:graphic xmlns:a="http://schemas.openxmlformats.org/drawingml/2006/main">
              <a:graphicData uri="http://schemas.openxmlformats.org/drawingml/2006/picture">
                <pic:pic xmlns:pic="http://schemas.openxmlformats.org/drawingml/2006/picture">
                  <pic:nvPicPr>
                    <pic:cNvPr id="125" name="Picture 125"/>
                    <pic:cNvPicPr/>
                  </pic:nvPicPr>
                  <pic:blipFill>
                    <a:blip r:embed="rId6"/>
                    <a:stretch>
                      <a:fillRect/>
                    </a:stretch>
                  </pic:blipFill>
                  <pic:spPr>
                    <a:xfrm>
                      <a:off x="0" y="0"/>
                      <a:ext cx="1299210" cy="1573530"/>
                    </a:xfrm>
                    <a:prstGeom prst="rect">
                      <a:avLst/>
                    </a:prstGeom>
                  </pic:spPr>
                </pic:pic>
              </a:graphicData>
            </a:graphic>
          </wp:inline>
        </w:drawing>
      </w:r>
      <w:r>
        <w:t xml:space="preserve"> </w:t>
      </w:r>
    </w:p>
    <w:p w14:paraId="68BCCAA1" w14:textId="77777777" w:rsidR="00CB4FE0" w:rsidRDefault="00D46AE2">
      <w:pPr>
        <w:spacing w:after="0" w:line="259" w:lineRule="auto"/>
        <w:ind w:left="15" w:firstLine="0"/>
        <w:jc w:val="left"/>
      </w:pPr>
      <w:r>
        <w:rPr>
          <w:b/>
        </w:rPr>
        <w:t>GERALD ALAIN P. CHEN-YOUNG</w:t>
      </w:r>
      <w:r>
        <w:t xml:space="preserve">  </w:t>
      </w:r>
    </w:p>
    <w:p w14:paraId="2DB6817E" w14:textId="77777777" w:rsidR="00CB4FE0" w:rsidRDefault="00D46AE2">
      <w:pPr>
        <w:ind w:left="-4" w:right="27"/>
      </w:pPr>
      <w:r>
        <w:t xml:space="preserve">Principal, Chief Investment Officer, Corporate Director &amp; International Institutional Investment Advisor &amp; Consultant </w:t>
      </w:r>
    </w:p>
    <w:p w14:paraId="4D92940B" w14:textId="77777777" w:rsidR="00CB4FE0" w:rsidRDefault="00D46AE2">
      <w:pPr>
        <w:spacing w:after="0" w:line="259" w:lineRule="auto"/>
        <w:ind w:left="0" w:firstLine="0"/>
        <w:jc w:val="left"/>
      </w:pPr>
      <w:r>
        <w:t xml:space="preserve"> </w:t>
      </w:r>
    </w:p>
    <w:p w14:paraId="48881819" w14:textId="77777777" w:rsidR="00C9501B" w:rsidRDefault="00D46AE2">
      <w:pPr>
        <w:ind w:left="-4" w:right="27"/>
      </w:pPr>
      <w:r>
        <w:t xml:space="preserve">Since 2016, Gerald has served as principal of GCY Associates LLC.  GCY Associates LLC is a small, independent, global institutional advisory and consulting firm with clients that have ranged from an Ivy League university, to a small private HBCU university, to a multi-billion euro multilateral, Geneva, Switzerland-based scientific research </w:t>
      </w:r>
      <w:proofErr w:type="spellStart"/>
      <w:r>
        <w:t>organisation</w:t>
      </w:r>
      <w:proofErr w:type="spellEnd"/>
      <w:r>
        <w:t>, to multiple international periodicals.  Gerald also serves on various boards, including working as an independent director to a hedge fund and as an advisory board member to an insurance group, including serving as the group’s Chair, Investment Committee</w:t>
      </w:r>
    </w:p>
    <w:p w14:paraId="3A910876" w14:textId="77777777" w:rsidR="00C9501B" w:rsidRDefault="00C9501B">
      <w:pPr>
        <w:ind w:left="-4" w:right="27"/>
      </w:pPr>
    </w:p>
    <w:p w14:paraId="0B463899" w14:textId="09018D29" w:rsidR="00CB4FE0" w:rsidRDefault="00D46AE2">
      <w:pPr>
        <w:ind w:left="-4" w:right="27"/>
      </w:pPr>
      <w:r>
        <w:t xml:space="preserve"> Gerald was named Chief Investment Officer of the National Public Pension Funds Association (NPPFA) </w:t>
      </w:r>
      <w:r w:rsidR="002226FB">
        <w:t xml:space="preserve">in 2024.  More </w:t>
      </w:r>
      <w:r w:rsidR="00AE053E">
        <w:t>recently, Gerald was asked to serve as an Adjunct Professor a</w:t>
      </w:r>
      <w:r w:rsidR="00BE5C2C">
        <w:t>t Georgetown University.</w:t>
      </w:r>
      <w:r>
        <w:t>.</w:t>
      </w:r>
      <w:r w:rsidR="00BE5C2C">
        <w:t xml:space="preserve">  </w:t>
      </w:r>
      <w:r>
        <w:t xml:space="preserve">Finally, and on a slightly more personal note, Gerald has served in the past as Special Advisor to the Ambassador of Jamaica. </w:t>
      </w:r>
    </w:p>
    <w:p w14:paraId="1FF60DD1" w14:textId="77777777" w:rsidR="00CB4FE0" w:rsidRDefault="00D46AE2">
      <w:pPr>
        <w:spacing w:after="0" w:line="259" w:lineRule="auto"/>
        <w:ind w:left="1" w:firstLine="0"/>
        <w:jc w:val="left"/>
      </w:pPr>
      <w:r>
        <w:t xml:space="preserve"> </w:t>
      </w:r>
    </w:p>
    <w:p w14:paraId="3D7CC24C" w14:textId="77777777" w:rsidR="00CB4FE0" w:rsidRDefault="00D46AE2">
      <w:pPr>
        <w:ind w:left="-4" w:right="27"/>
      </w:pPr>
      <w:r>
        <w:t xml:space="preserve">From 2002 - 2016, Gerald served as VP &amp; Chief Investment Officer for the UNCF. where he actively managed three (3) portfolios through a myriad of outside consultants, managers, custodians, etc.  At their peak, those 3 portfolios </w:t>
      </w:r>
      <w:proofErr w:type="spellStart"/>
      <w:r>
        <w:t>totalled</w:t>
      </w:r>
      <w:proofErr w:type="spellEnd"/>
      <w:r>
        <w:t xml:space="preserve"> approximately $1 billion.  One was a dedicated, fixed-income portfolio for a special scholarship </w:t>
      </w:r>
      <w:proofErr w:type="spellStart"/>
      <w:r>
        <w:t>programme</w:t>
      </w:r>
      <w:proofErr w:type="spellEnd"/>
      <w:r>
        <w:t xml:space="preserve"> created in conjunction with the Bill &amp; Melinda Gates Foundation that was designed to use a dedicated defeasance strategy to </w:t>
      </w:r>
      <w:proofErr w:type="spellStart"/>
      <w:r>
        <w:t>immunise</w:t>
      </w:r>
      <w:proofErr w:type="spellEnd"/>
      <w:r>
        <w:t xml:space="preserve"> </w:t>
      </w:r>
      <w:proofErr w:type="spellStart"/>
      <w:r>
        <w:t>programme</w:t>
      </w:r>
      <w:proofErr w:type="spellEnd"/>
      <w:r>
        <w:t xml:space="preserve"> liabilities via matching cash flows and durations, akin to pension plans; the second was a traditional, fully-diversified, long-term, endowment portfolio; and the third was a short-term portfolio that staggered maturities across various short-term instruments. Prior to UNCF, Gerald worked with UBS as a retail broker (2000).  Prior to that, Gerald worked with PaineWebber (1995), in both institutional fixed income sales covering government issues, corporates, Eurobonds, etc. and eventually retail brokering.  Lastly, Gerald worked in both the retail and commercial banking divisions of Riggs National Bank of Washington (1990) in multiple capacities. </w:t>
      </w:r>
    </w:p>
    <w:p w14:paraId="7636C05D" w14:textId="77777777" w:rsidR="00CB4FE0" w:rsidRDefault="00D46AE2">
      <w:pPr>
        <w:spacing w:after="0" w:line="259" w:lineRule="auto"/>
        <w:ind w:left="1" w:firstLine="0"/>
        <w:jc w:val="left"/>
      </w:pPr>
      <w:r>
        <w:t xml:space="preserve"> </w:t>
      </w:r>
    </w:p>
    <w:p w14:paraId="2D7E9910" w14:textId="77777777" w:rsidR="00CB4FE0" w:rsidRDefault="00D46AE2">
      <w:pPr>
        <w:ind w:left="-4" w:right="27"/>
      </w:pPr>
      <w:r>
        <w:t xml:space="preserve">Gerald holds postgraduate degrees in Economics from the London School of Economics &amp; Political Science and York University and in Law from the University of Miami and the Washington College of Law. His undergraduate degree is in Economics from the American University with </w:t>
      </w:r>
      <w:proofErr w:type="spellStart"/>
      <w:r>
        <w:t>honours</w:t>
      </w:r>
      <w:proofErr w:type="spellEnd"/>
      <w:r>
        <w:t>.  Gerald has served on multiple advisory boards</w:t>
      </w:r>
      <w:r>
        <w:rPr>
          <w:vertAlign w:val="superscript"/>
        </w:rPr>
        <w:footnoteReference w:id="1"/>
      </w:r>
      <w:r>
        <w:t>, committees, etc.  Gerald was nominated for multiple industry awards and, most recently, won the award from Institutional Investor “Investor Intelligence Awards, Endowments &amp; Foundations, Thought Leadership” (2016) in the endowment and foundation space.  Gerald was nominated twice on the “ai-CIO, Power 100 CIOs” (2012 &amp; 2013) global list of chief investment officers and has spoken on many global institutional investor panels all over the world.</w:t>
      </w:r>
      <w:r>
        <w:rPr>
          <w:vertAlign w:val="superscript"/>
        </w:rPr>
        <w:footnoteReference w:id="2"/>
      </w:r>
      <w:r>
        <w:t xml:space="preserve"> </w:t>
      </w:r>
    </w:p>
    <w:p w14:paraId="6CC2B63A" w14:textId="77777777" w:rsidR="00CB4FE0" w:rsidRDefault="00D46AE2">
      <w:pPr>
        <w:spacing w:after="0" w:line="259" w:lineRule="auto"/>
        <w:ind w:left="0" w:firstLine="0"/>
        <w:jc w:val="left"/>
      </w:pPr>
      <w:r>
        <w:t xml:space="preserve"> </w:t>
      </w:r>
    </w:p>
    <w:p w14:paraId="04D5D0DA" w14:textId="01810C33" w:rsidR="00CB4FE0" w:rsidRDefault="00D46AE2">
      <w:pPr>
        <w:ind w:left="-4" w:right="27"/>
      </w:pPr>
      <w:r>
        <w:t>Geral</w:t>
      </w:r>
      <w:r w:rsidR="002D762B">
        <w:t xml:space="preserve">d </w:t>
      </w:r>
      <w:r>
        <w:t>is a dual Jamaican-American citizen, married, and currently lives in Washington, DC. Gerald is partly bilingual (English &amp; French) and is also an avid, recreational chef de cuisine.  Gerald is a sportsman, voracious reader and a global traveller.</w:t>
      </w:r>
      <w:r>
        <w:rPr>
          <w:sz w:val="24"/>
        </w:rPr>
        <w:t xml:space="preserve"> </w:t>
      </w:r>
    </w:p>
    <w:p w14:paraId="19B9DF63" w14:textId="77777777" w:rsidR="00CB4FE0" w:rsidRDefault="00D46AE2">
      <w:pPr>
        <w:spacing w:after="0" w:line="259" w:lineRule="auto"/>
        <w:ind w:left="15" w:firstLine="0"/>
        <w:jc w:val="left"/>
      </w:pPr>
      <w:r>
        <w:rPr>
          <w:rFonts w:ascii="Calibri" w:eastAsia="Calibri" w:hAnsi="Calibri" w:cs="Calibri"/>
          <w:noProof/>
          <w:sz w:val="22"/>
        </w:rPr>
        <mc:AlternateContent>
          <mc:Choice Requires="wpg">
            <w:drawing>
              <wp:inline distT="0" distB="0" distL="0" distR="0" wp14:anchorId="40395B98" wp14:editId="737BBDD7">
                <wp:extent cx="1828800" cy="6108"/>
                <wp:effectExtent l="0" t="0" r="0" b="0"/>
                <wp:docPr id="872" name="Group 872"/>
                <wp:cNvGraphicFramePr/>
                <a:graphic xmlns:a="http://schemas.openxmlformats.org/drawingml/2006/main">
                  <a:graphicData uri="http://schemas.microsoft.com/office/word/2010/wordprocessingGroup">
                    <wpg:wgp>
                      <wpg:cNvGrpSpPr/>
                      <wpg:grpSpPr>
                        <a:xfrm>
                          <a:off x="0" y="0"/>
                          <a:ext cx="1828800" cy="6108"/>
                          <a:chOff x="0" y="0"/>
                          <a:chExt cx="1828800" cy="6108"/>
                        </a:xfrm>
                      </wpg:grpSpPr>
                      <wps:wsp>
                        <wps:cNvPr id="1081" name="Shape 1081"/>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72" style="width:144pt;height:0.480957pt;mso-position-horizontal-relative:char;mso-position-vertical-relative:line" coordsize="18288,61">
                <v:shape id="Shape 1082" style="position:absolute;width:18288;height:91;left:0;top:0;" coordsize="1828800,9144" path="m0,0l1828800,0l1828800,9144l0,9144l0,0">
                  <v:stroke weight="0pt" endcap="flat" joinstyle="miter" miterlimit="10" on="false" color="#000000" opacity="0"/>
                  <v:fill on="true" color="#000000"/>
                </v:shape>
              </v:group>
            </w:pict>
          </mc:Fallback>
        </mc:AlternateContent>
      </w:r>
      <w:r>
        <w:t xml:space="preserve"> </w:t>
      </w:r>
    </w:p>
    <w:sectPr w:rsidR="00CB4FE0">
      <w:footnotePr>
        <w:numRestart w:val="eachPage"/>
      </w:footnotePr>
      <w:pgSz w:w="12240" w:h="15840"/>
      <w:pgMar w:top="1440" w:right="1390" w:bottom="1440" w:left="142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4D655" w14:textId="77777777" w:rsidR="00D46AE2" w:rsidRDefault="00D46AE2">
      <w:pPr>
        <w:spacing w:after="0" w:line="240" w:lineRule="auto"/>
      </w:pPr>
      <w:r>
        <w:separator/>
      </w:r>
    </w:p>
  </w:endnote>
  <w:endnote w:type="continuationSeparator" w:id="0">
    <w:p w14:paraId="3CC39391" w14:textId="77777777" w:rsidR="00D46AE2" w:rsidRDefault="00D46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9F789" w14:textId="77777777" w:rsidR="00CB4FE0" w:rsidRDefault="00D46AE2">
      <w:pPr>
        <w:spacing w:after="0" w:line="249" w:lineRule="auto"/>
        <w:ind w:left="24" w:right="43" w:hanging="9"/>
      </w:pPr>
      <w:r>
        <w:separator/>
      </w:r>
    </w:p>
  </w:footnote>
  <w:footnote w:type="continuationSeparator" w:id="0">
    <w:p w14:paraId="6122BFB5" w14:textId="77777777" w:rsidR="00CB4FE0" w:rsidRDefault="00D46AE2">
      <w:pPr>
        <w:spacing w:after="0" w:line="249" w:lineRule="auto"/>
        <w:ind w:left="24" w:right="43" w:hanging="9"/>
      </w:pPr>
      <w:r>
        <w:continuationSeparator/>
      </w:r>
    </w:p>
  </w:footnote>
  <w:footnote w:id="1">
    <w:p w14:paraId="5F76CAB1" w14:textId="77777777" w:rsidR="00CB4FE0" w:rsidRDefault="00D46AE2">
      <w:pPr>
        <w:pStyle w:val="footnotedescription"/>
        <w:spacing w:line="249" w:lineRule="auto"/>
      </w:pPr>
      <w:r>
        <w:rPr>
          <w:rStyle w:val="footnotemark"/>
        </w:rPr>
        <w:footnoteRef/>
      </w:r>
      <w:r>
        <w:t xml:space="preserve"> Various advisory board memberships have included the RF Kennedy Leadership Council, Institutional Investor, Investment Management Institute (IMI), Alternative Investment Management Association (AIMA), US &amp; Latin Markets Group and so forth. </w:t>
      </w:r>
    </w:p>
  </w:footnote>
  <w:footnote w:id="2">
    <w:p w14:paraId="6B4ADA31" w14:textId="77777777" w:rsidR="00CB4FE0" w:rsidRDefault="00D46AE2">
      <w:pPr>
        <w:pStyle w:val="footnotedescription"/>
        <w:spacing w:line="243" w:lineRule="auto"/>
      </w:pPr>
      <w:r>
        <w:rPr>
          <w:rStyle w:val="footnotemark"/>
        </w:rPr>
        <w:footnoteRef/>
      </w:r>
      <w:r>
        <w:t xml:space="preserve"> Featured panel and keynote speaking appearances have been in Europe (UK, Germany, Austria, Holland, Switzerland, etc.), S. America (Brazil, Colombia, etc.), N. America, the Caribbean, the Middle East (UAE, Saudi Arabia, etc.) and Australia.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200"/>
  <w:proofState w:spelling="clean"/>
  <w:revisionView w:inkAnnotations="0"/>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FE0"/>
    <w:rsid w:val="00003E45"/>
    <w:rsid w:val="002226FB"/>
    <w:rsid w:val="002D762B"/>
    <w:rsid w:val="0061571E"/>
    <w:rsid w:val="00782637"/>
    <w:rsid w:val="00AE053E"/>
    <w:rsid w:val="00BE5C2C"/>
    <w:rsid w:val="00C9501B"/>
    <w:rsid w:val="00CB4FE0"/>
    <w:rsid w:val="00D46AE2"/>
    <w:rsid w:val="00E732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CAE9743"/>
  <w15:docId w15:val="{9B221590-EF92-9941-A9CF-B7EE6E06F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1" w:lineRule="auto"/>
      <w:ind w:left="10" w:hanging="10"/>
      <w:jc w:val="both"/>
    </w:pPr>
    <w:rPr>
      <w:rFonts w:ascii="Book Antiqua" w:eastAsia="Book Antiqua" w:hAnsi="Book Antiqua" w:cs="Book Antiqua"/>
      <w:color w:val="000000"/>
      <w:sz w:val="18"/>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46" w:lineRule="auto"/>
      <w:ind w:left="24" w:right="43" w:hanging="9"/>
      <w:jc w:val="both"/>
    </w:pPr>
    <w:rPr>
      <w:rFonts w:ascii="Book Antiqua" w:eastAsia="Book Antiqua" w:hAnsi="Book Antiqua" w:cs="Book Antiqua"/>
      <w:color w:val="000000"/>
      <w:sz w:val="18"/>
    </w:rPr>
  </w:style>
  <w:style w:type="character" w:customStyle="1" w:styleId="footnotedescriptionChar">
    <w:name w:val="footnote description Char"/>
    <w:link w:val="footnotedescription"/>
    <w:rPr>
      <w:rFonts w:ascii="Book Antiqua" w:eastAsia="Book Antiqua" w:hAnsi="Book Antiqua" w:cs="Book Antiqua"/>
      <w:color w:val="000000"/>
      <w:sz w:val="18"/>
    </w:rPr>
  </w:style>
  <w:style w:type="character" w:customStyle="1" w:styleId="footnotemark">
    <w:name w:val="footnote mark"/>
    <w:hidden/>
    <w:rPr>
      <w:rFonts w:ascii="Book Antiqua" w:eastAsia="Book Antiqua" w:hAnsi="Book Antiqua" w:cs="Book Antiqua"/>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495</Words>
  <Characters>2823</Characters>
  <Application>Microsoft Office Word</Application>
  <DocSecurity>0</DocSecurity>
  <Lines>23</Lines>
  <Paragraphs>6</Paragraphs>
  <ScaleCrop>false</ScaleCrop>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Sascha Pierson</dc:creator>
  <cp:keywords/>
  <cp:lastModifiedBy>Gerald Alain P Chen-Young</cp:lastModifiedBy>
  <cp:revision>2</cp:revision>
  <dcterms:created xsi:type="dcterms:W3CDTF">2026-02-26T06:26:00Z</dcterms:created>
  <dcterms:modified xsi:type="dcterms:W3CDTF">2026-02-26T06:26:00Z</dcterms:modified>
</cp:coreProperties>
</file>